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94E7" w14:textId="15A51DC8" w:rsidR="009F189E" w:rsidRPr="001C4001" w:rsidRDefault="00F00D2A" w:rsidP="001C4001">
      <w:pPr>
        <w:jc w:val="center"/>
        <w:rPr>
          <w:b/>
          <w:bCs/>
          <w:sz w:val="32"/>
          <w:szCs w:val="32"/>
          <w:u w:val="single"/>
        </w:rPr>
      </w:pPr>
      <w:r w:rsidRPr="009F189E">
        <w:rPr>
          <w:b/>
          <w:bCs/>
          <w:sz w:val="32"/>
          <w:szCs w:val="32"/>
          <w:u w:val="single"/>
        </w:rPr>
        <w:t>Retningslinjer i budget</w:t>
      </w:r>
      <w:r w:rsidR="00DD35C3" w:rsidRPr="009F189E">
        <w:rPr>
          <w:b/>
          <w:bCs/>
          <w:sz w:val="32"/>
          <w:szCs w:val="32"/>
          <w:u w:val="single"/>
        </w:rPr>
        <w:t xml:space="preserve"> og regnskabsforhold</w:t>
      </w:r>
      <w:r w:rsidR="001C4001">
        <w:rPr>
          <w:b/>
          <w:bCs/>
          <w:sz w:val="32"/>
          <w:szCs w:val="32"/>
          <w:u w:val="single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72"/>
        <w:gridCol w:w="7456"/>
      </w:tblGrid>
      <w:tr w:rsidR="00F00D2A" w14:paraId="37CF45C9" w14:textId="77777777" w:rsidTr="00236C8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7A6747A" w14:textId="53AB173C" w:rsidR="00F00D2A" w:rsidRPr="00F00D2A" w:rsidRDefault="00F00D2A" w:rsidP="00F00D2A">
            <w:pPr>
              <w:jc w:val="center"/>
              <w:rPr>
                <w:b/>
                <w:bCs/>
              </w:rPr>
            </w:pPr>
            <w:r w:rsidRPr="00236C87">
              <w:rPr>
                <w:b/>
                <w:bCs/>
                <w:sz w:val="28"/>
                <w:szCs w:val="28"/>
              </w:rPr>
              <w:t>Budgetlægning og -opfølgning</w:t>
            </w:r>
          </w:p>
        </w:tc>
      </w:tr>
      <w:tr w:rsidR="00F00D2A" w14:paraId="3BA545F9" w14:textId="77777777" w:rsidTr="00F00D2A">
        <w:tc>
          <w:tcPr>
            <w:tcW w:w="2172" w:type="dxa"/>
          </w:tcPr>
          <w:p w14:paraId="5A2919F9" w14:textId="66F5B1CD" w:rsidR="00F00D2A" w:rsidRDefault="00F00D2A">
            <w:r>
              <w:t>Budgetlægning</w:t>
            </w:r>
          </w:p>
        </w:tc>
        <w:tc>
          <w:tcPr>
            <w:tcW w:w="7456" w:type="dxa"/>
          </w:tcPr>
          <w:p w14:paraId="3EBF6772" w14:textId="2852BAB9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t>U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dvalgene udarbejder budgetforslag for det kommende kalenderår og</w:t>
            </w:r>
          </w:p>
          <w:p w14:paraId="4FF04400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indsender dette til administrationen, jfr. Opgave- og funktionsbeskrivelser</w:t>
            </w:r>
          </w:p>
          <w:p w14:paraId="4F6D87B2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 afdelingsudvalg.</w:t>
            </w:r>
          </w:p>
          <w:p w14:paraId="37FB8D62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Intet af afdelingerne fremsendt budgetforslag må udvise underskud.</w:t>
            </w:r>
          </w:p>
          <w:p w14:paraId="486BBAA6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De fremsendte budgetforslag bør specificeres på relevante hovedposter,</w:t>
            </w:r>
          </w:p>
          <w:p w14:paraId="2F1836DC" w14:textId="77777777" w:rsidR="00F00D2A" w:rsidRDefault="00F00D2A" w:rsidP="00F00D2A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 at lette afdelingernes løbende arbejde med opfølgning.</w:t>
            </w:r>
          </w:p>
          <w:p w14:paraId="75D65C71" w14:textId="7B64739B" w:rsidR="00F00D2A" w:rsidRDefault="00F00D2A" w:rsidP="00F00D2A"/>
        </w:tc>
      </w:tr>
      <w:tr w:rsidR="00F00D2A" w14:paraId="0B571164" w14:textId="77777777" w:rsidTr="00F00D2A">
        <w:tc>
          <w:tcPr>
            <w:tcW w:w="2172" w:type="dxa"/>
          </w:tcPr>
          <w:p w14:paraId="25B50537" w14:textId="39D1534B" w:rsidR="00F00D2A" w:rsidRDefault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Budgetvedtagelse</w:t>
            </w:r>
          </w:p>
        </w:tc>
        <w:tc>
          <w:tcPr>
            <w:tcW w:w="7456" w:type="dxa"/>
          </w:tcPr>
          <w:p w14:paraId="7809F8AA" w14:textId="539E741A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Firmaidræt Storkøbenhavns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bestyrelse behandler foreningens samlede budgetforslag for det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kommende kalenderår på bestyrelsesmøde i december måned. De godkendte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afdelingsbudgetter udmeldes til afdelingsbestyrelserne.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</w:p>
          <w:p w14:paraId="31958406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Det udmeldte budget udgør udvalgenes og administrationens rammer for</w:t>
            </w:r>
          </w:p>
          <w:p w14:paraId="68A4A0D1" w14:textId="77777777" w:rsidR="00F00D2A" w:rsidRDefault="00F00D2A" w:rsidP="00F00D2A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aktiviteten i det kommende år.</w:t>
            </w:r>
          </w:p>
          <w:p w14:paraId="2C95D69D" w14:textId="4FF6B42B" w:rsidR="00F00D2A" w:rsidRDefault="00F00D2A" w:rsidP="00F00D2A"/>
        </w:tc>
      </w:tr>
      <w:tr w:rsidR="00F00D2A" w14:paraId="3FF7717A" w14:textId="77777777" w:rsidTr="00F00D2A">
        <w:tc>
          <w:tcPr>
            <w:tcW w:w="2172" w:type="dxa"/>
          </w:tcPr>
          <w:p w14:paraId="2642E054" w14:textId="1C159360" w:rsidR="00F00D2A" w:rsidRDefault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Budgetoverholdelse</w:t>
            </w:r>
          </w:p>
        </w:tc>
        <w:tc>
          <w:tcPr>
            <w:tcW w:w="7456" w:type="dxa"/>
          </w:tcPr>
          <w:p w14:paraId="1AF3E0C0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Budgettet styres som rammebudgetter, hvilket betyder, at udvalgene kan</w:t>
            </w:r>
          </w:p>
          <w:p w14:paraId="1901DE8C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flytte udgifter og indtægter mellem detailposter indenfor den udmeldte</w:t>
            </w:r>
          </w:p>
          <w:p w14:paraId="1DC83B0E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budgetramme. Ændringer skal til enhver tid overholde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Firmaidræt Storkøbenhavns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"Fælles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retningslin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er".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hyperlink r:id="rId4" w:history="1">
              <w:r w:rsidRPr="00F00D2A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A4B66D" w14:textId="06EF489D" w:rsidR="00F00D2A" w:rsidRDefault="00F00D2A" w:rsidP="00F00D2A">
            <w:pPr>
              <w:autoSpaceDE w:val="0"/>
              <w:autoSpaceDN w:val="0"/>
              <w:adjustRightInd w:val="0"/>
            </w:pPr>
          </w:p>
        </w:tc>
      </w:tr>
      <w:tr w:rsidR="00F00D2A" w14:paraId="1033F052" w14:textId="77777777" w:rsidTr="00F00D2A">
        <w:tc>
          <w:tcPr>
            <w:tcW w:w="2172" w:type="dxa"/>
          </w:tcPr>
          <w:p w14:paraId="12C93528" w14:textId="2B967A1F" w:rsidR="00F00D2A" w:rsidRDefault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Budgetkontrol</w:t>
            </w:r>
          </w:p>
        </w:tc>
        <w:tc>
          <w:tcPr>
            <w:tcW w:w="7456" w:type="dxa"/>
          </w:tcPr>
          <w:p w14:paraId="1CCE2DE7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Afdelingerne fører løbende kontrol med udgifter og indtægter indenfor</w:t>
            </w:r>
          </w:p>
          <w:p w14:paraId="2CC3A7D9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egen afdeling for at sikre, at afdelingen kan overholde den vedtagne budgetramme.</w:t>
            </w:r>
          </w:p>
          <w:p w14:paraId="690AFAC2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I tilfælde af afvigelser i forhold til forudsætninger er det udvalgets</w:t>
            </w:r>
          </w:p>
          <w:p w14:paraId="608C4712" w14:textId="77777777" w:rsidR="00F00D2A" w:rsidRDefault="00F00D2A" w:rsidP="00F00D2A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ansvar at tilpasse udgifter og indtægter til budgetrammen.</w:t>
            </w:r>
          </w:p>
          <w:p w14:paraId="4C08FF38" w14:textId="6542D6E4" w:rsidR="00F00D2A" w:rsidRDefault="00F00D2A" w:rsidP="00F00D2A"/>
        </w:tc>
      </w:tr>
      <w:tr w:rsidR="00F00D2A" w14:paraId="1711A27B" w14:textId="77777777" w:rsidTr="00F00D2A">
        <w:tc>
          <w:tcPr>
            <w:tcW w:w="2172" w:type="dxa"/>
          </w:tcPr>
          <w:p w14:paraId="33973FA0" w14:textId="1B001D66" w:rsidR="00F00D2A" w:rsidRDefault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Budgetkorrektioner</w:t>
            </w:r>
          </w:p>
        </w:tc>
        <w:tc>
          <w:tcPr>
            <w:tcW w:w="7456" w:type="dxa"/>
          </w:tcPr>
          <w:p w14:paraId="7C2EF45D" w14:textId="7C51138C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kern w:val="0"/>
                <w:sz w:val="24"/>
                <w:szCs w:val="24"/>
              </w:rPr>
              <w:t>Såfremt</w:t>
            </w:r>
            <w:proofErr w:type="gramEnd"/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et udvalg i løbet af et budgetår ønsker ændringer i budgetrammen,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skal der fremsendes begrundet ansøgning til bestyrelsen. Beslutning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om ændring af budgetramme drøftes på bestyrelsesmøde og resultatet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meddeles ansøger.</w:t>
            </w:r>
          </w:p>
          <w:p w14:paraId="4C709BB1" w14:textId="62A73EDC" w:rsidR="00F00D2A" w:rsidRDefault="00F00D2A" w:rsidP="00F00D2A"/>
        </w:tc>
      </w:tr>
    </w:tbl>
    <w:p w14:paraId="2FDD5836" w14:textId="566D8145" w:rsidR="00F00D2A" w:rsidRDefault="00F00D2A"/>
    <w:p w14:paraId="56245843" w14:textId="77777777" w:rsidR="00DD35C3" w:rsidRDefault="00DD35C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F00D2A" w14:paraId="00C9F65A" w14:textId="08AA64B3" w:rsidTr="00236C8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BE5EF30" w14:textId="16045AFA" w:rsidR="00F00D2A" w:rsidRPr="00236C87" w:rsidRDefault="00F00D2A" w:rsidP="00F00D2A">
            <w:pPr>
              <w:jc w:val="center"/>
              <w:rPr>
                <w:b/>
                <w:bCs/>
              </w:rPr>
            </w:pPr>
            <w:r w:rsidRPr="00236C87">
              <w:rPr>
                <w:b/>
                <w:bCs/>
                <w:sz w:val="28"/>
                <w:szCs w:val="28"/>
              </w:rPr>
              <w:t>De løbende betalinger bogføringer</w:t>
            </w:r>
          </w:p>
        </w:tc>
      </w:tr>
      <w:tr w:rsidR="00F00D2A" w14:paraId="19968348" w14:textId="0F15B4D8" w:rsidTr="00236C87">
        <w:tc>
          <w:tcPr>
            <w:tcW w:w="2405" w:type="dxa"/>
          </w:tcPr>
          <w:p w14:paraId="4A5FD668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Forskud,</w:t>
            </w:r>
          </w:p>
          <w:p w14:paraId="5EFC8C12" w14:textId="59B12DC5" w:rsidR="00F00D2A" w:rsidRDefault="00F00D2A" w:rsidP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udbetaling</w:t>
            </w:r>
          </w:p>
        </w:tc>
        <w:tc>
          <w:tcPr>
            <w:tcW w:w="7223" w:type="dxa"/>
          </w:tcPr>
          <w:p w14:paraId="2AC697DB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Forud for arrangementer kan afdelingerne anmode om et forskud til brug</w:t>
            </w:r>
          </w:p>
          <w:p w14:paraId="1FBC64AF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 afholdelse af mindre udgifter. Hvis beløbet er større end 5.000 kr. skal</w:t>
            </w:r>
          </w:p>
          <w:p w14:paraId="7FC89058" w14:textId="77777777" w:rsidR="00F00D2A" w:rsidRDefault="00F00D2A" w:rsidP="00F00D2A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det rekvireres skriftligt (via mail) med angivelse af formål.</w:t>
            </w:r>
          </w:p>
          <w:p w14:paraId="4EC782FB" w14:textId="196F42ED" w:rsidR="00F00D2A" w:rsidRDefault="00F00D2A" w:rsidP="00F00D2A"/>
        </w:tc>
      </w:tr>
      <w:tr w:rsidR="00F00D2A" w14:paraId="63D168FE" w14:textId="56F8C015" w:rsidTr="00236C87">
        <w:tc>
          <w:tcPr>
            <w:tcW w:w="2405" w:type="dxa"/>
          </w:tcPr>
          <w:p w14:paraId="32F62293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lastRenderedPageBreak/>
              <w:t>Forskud,</w:t>
            </w:r>
          </w:p>
          <w:p w14:paraId="3E371FF2" w14:textId="27992045" w:rsidR="00F00D2A" w:rsidRDefault="00F00D2A" w:rsidP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afregning</w:t>
            </w:r>
          </w:p>
        </w:tc>
        <w:tc>
          <w:tcPr>
            <w:tcW w:w="7223" w:type="dxa"/>
          </w:tcPr>
          <w:p w14:paraId="7A9C7F66" w14:textId="63746CA8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Forskud skal altid afregnes straks efter afholdelse af det pågældende arrangement,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og senest inden den pågældende måneds udgang. Se </w:t>
            </w:r>
            <w:proofErr w:type="gramStart"/>
            <w:r>
              <w:rPr>
                <w:rFonts w:ascii="Calibri" w:hAnsi="Calibri" w:cs="Calibri"/>
                <w:kern w:val="0"/>
                <w:sz w:val="24"/>
                <w:szCs w:val="24"/>
              </w:rPr>
              <w:t>endvidere</w:t>
            </w:r>
            <w:proofErr w:type="gramEnd"/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"Krav til bilagsmateriale" nedenfor.</w:t>
            </w:r>
          </w:p>
          <w:p w14:paraId="1FEDCADC" w14:textId="23F6D992" w:rsidR="00F00D2A" w:rsidRDefault="00F00D2A" w:rsidP="00F00D2A"/>
        </w:tc>
      </w:tr>
      <w:tr w:rsidR="00F00D2A" w14:paraId="20E88162" w14:textId="008C1C9D" w:rsidTr="00236C87">
        <w:tc>
          <w:tcPr>
            <w:tcW w:w="2405" w:type="dxa"/>
          </w:tcPr>
          <w:p w14:paraId="3396608F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Betaling af regninger</w:t>
            </w:r>
          </w:p>
          <w:p w14:paraId="73B5CF8E" w14:textId="2B032F6F" w:rsidR="00F00D2A" w:rsidRDefault="00F00D2A" w:rsidP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(leverandører)</w:t>
            </w:r>
          </w:p>
        </w:tc>
        <w:tc>
          <w:tcPr>
            <w:tcW w:w="7223" w:type="dxa"/>
          </w:tcPr>
          <w:p w14:paraId="05205D0C" w14:textId="5ED0183E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Betaling af leverandører kan i mindre omfang ske ved kontante betalinger,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foretaget ved udlæg eller forskud.</w:t>
            </w:r>
          </w:p>
          <w:p w14:paraId="41457E78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 regninger på 5.000 kr. og derover gælder, at disse skal betales elektronisk,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hvorfor regninger attesteret af udvalgsformanden indsendes til administrationen,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der sørger for afregningen.</w:t>
            </w:r>
          </w:p>
          <w:p w14:paraId="1A32597A" w14:textId="2B5F71B7" w:rsidR="00F00D2A" w:rsidRDefault="00F00D2A" w:rsidP="00F00D2A">
            <w:pPr>
              <w:autoSpaceDE w:val="0"/>
              <w:autoSpaceDN w:val="0"/>
              <w:adjustRightInd w:val="0"/>
            </w:pPr>
          </w:p>
        </w:tc>
      </w:tr>
      <w:tr w:rsidR="00F00D2A" w14:paraId="45F15DB9" w14:textId="189F57C5" w:rsidTr="00236C87">
        <w:tc>
          <w:tcPr>
            <w:tcW w:w="2405" w:type="dxa"/>
          </w:tcPr>
          <w:p w14:paraId="2C91F76E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Krav til</w:t>
            </w:r>
          </w:p>
          <w:p w14:paraId="12B85DC1" w14:textId="76CE0B54" w:rsidR="00F00D2A" w:rsidRDefault="00F00D2A" w:rsidP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bilagsmateriale</w:t>
            </w:r>
          </w:p>
        </w:tc>
        <w:tc>
          <w:tcPr>
            <w:tcW w:w="7223" w:type="dxa"/>
          </w:tcPr>
          <w:p w14:paraId="208B4A45" w14:textId="22D06E8A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Alle bilag der </w:t>
            </w:r>
            <w:r w:rsidR="00DD35C3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indsendes,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skal som minimum indeholde oplysning om udgiftens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formål. For udgifter, hvor personer deltager eller modtager ydelser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(f.eks. møder, rejser, gaver, præmier og lignende) skal deltageres/modtageres navne 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endvidere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oplyses.</w:t>
            </w:r>
          </w:p>
          <w:p w14:paraId="7587DF4C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Til brug for samlet afregning af udlæg og forskud bør foreningens standardbilag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"Godtgørelse af afholdte udgifter" anvendes. </w:t>
            </w:r>
            <w:hyperlink r:id="rId5" w:history="1">
              <w:r w:rsidRPr="00F00D2A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</w:p>
          <w:p w14:paraId="33F6D342" w14:textId="15181C27" w:rsidR="00F00D2A" w:rsidRDefault="00F00D2A" w:rsidP="00F00D2A">
            <w:pPr>
              <w:autoSpaceDE w:val="0"/>
              <w:autoSpaceDN w:val="0"/>
              <w:adjustRightInd w:val="0"/>
            </w:pPr>
          </w:p>
        </w:tc>
      </w:tr>
      <w:tr w:rsidR="00F00D2A" w14:paraId="005E2C4A" w14:textId="1F134D07" w:rsidTr="00236C87">
        <w:tc>
          <w:tcPr>
            <w:tcW w:w="2405" w:type="dxa"/>
          </w:tcPr>
          <w:p w14:paraId="750DE213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Periodisering</w:t>
            </w:r>
          </w:p>
          <w:p w14:paraId="30A6F069" w14:textId="77777777" w:rsidR="00F00D2A" w:rsidRDefault="00F00D2A" w:rsidP="00F00D2A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af udgifter og</w:t>
            </w:r>
          </w:p>
          <w:p w14:paraId="57A56D47" w14:textId="0F61A937" w:rsidR="00F00D2A" w:rsidRDefault="00F00D2A" w:rsidP="00F00D2A">
            <w:r>
              <w:rPr>
                <w:rFonts w:ascii="Calibri" w:hAnsi="Calibri" w:cs="Calibri"/>
                <w:kern w:val="0"/>
                <w:sz w:val="24"/>
                <w:szCs w:val="24"/>
              </w:rPr>
              <w:t>indtægter</w:t>
            </w:r>
          </w:p>
        </w:tc>
        <w:tc>
          <w:tcPr>
            <w:tcW w:w="7223" w:type="dxa"/>
          </w:tcPr>
          <w:p w14:paraId="11A01E85" w14:textId="77777777" w:rsidR="00F00D2A" w:rsidRDefault="00F00D2A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Alle udgifter og indtægter skal i regnskabet henføres til det korrekte regnskabsår.</w:t>
            </w:r>
            <w:r w:rsidR="00236C87"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Det er afdelingens ansvar at gøre administrationen opmærksom</w:t>
            </w:r>
            <w:r w:rsidR="00236C87"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på fordelingen mellem forskellige regnskabsår, når bilag fremsendes.</w:t>
            </w:r>
          </w:p>
          <w:p w14:paraId="427ED0A9" w14:textId="54E94674" w:rsidR="00236C87" w:rsidRDefault="00236C87" w:rsidP="00236C87">
            <w:pPr>
              <w:autoSpaceDE w:val="0"/>
              <w:autoSpaceDN w:val="0"/>
              <w:adjustRightInd w:val="0"/>
            </w:pPr>
          </w:p>
        </w:tc>
      </w:tr>
      <w:tr w:rsidR="00F00D2A" w14:paraId="20C57679" w14:textId="1617ADB0" w:rsidTr="00236C87">
        <w:tc>
          <w:tcPr>
            <w:tcW w:w="2405" w:type="dxa"/>
          </w:tcPr>
          <w:p w14:paraId="380DE180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Godkendelse af</w:t>
            </w:r>
          </w:p>
          <w:p w14:paraId="37D5D126" w14:textId="0790C5F1" w:rsidR="00F00D2A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udgifter og indtægter</w:t>
            </w:r>
          </w:p>
        </w:tc>
        <w:tc>
          <w:tcPr>
            <w:tcW w:w="7223" w:type="dxa"/>
          </w:tcPr>
          <w:p w14:paraId="55769354" w14:textId="46760249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Afdelingsformanden, eller en anden fra afdelingen, skal godkende fakturaer,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inden disse kan betales.</w:t>
            </w:r>
          </w:p>
          <w:p w14:paraId="27EF9250" w14:textId="77777777" w:rsidR="00F00D2A" w:rsidRDefault="00236C87" w:rsidP="00236C8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Ingen kan godkende udgifter, der vedrører egne forhold.</w:t>
            </w:r>
          </w:p>
          <w:p w14:paraId="256F0345" w14:textId="40FEDB7A" w:rsidR="00236C87" w:rsidRDefault="00236C87" w:rsidP="00236C87"/>
        </w:tc>
      </w:tr>
      <w:tr w:rsidR="00F00D2A" w14:paraId="1B3AFFC4" w14:textId="2EDD28BD" w:rsidTr="00236C87">
        <w:tc>
          <w:tcPr>
            <w:tcW w:w="2405" w:type="dxa"/>
          </w:tcPr>
          <w:p w14:paraId="56D62CD7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Fortæring ved møder</w:t>
            </w:r>
          </w:p>
          <w:p w14:paraId="525ED5C0" w14:textId="71830C12" w:rsidR="00F00D2A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og stævner</w:t>
            </w:r>
          </w:p>
        </w:tc>
        <w:tc>
          <w:tcPr>
            <w:tcW w:w="7223" w:type="dxa"/>
          </w:tcPr>
          <w:p w14:paraId="757096C0" w14:textId="7742DF6F" w:rsidR="00F00D2A" w:rsidRDefault="00236C87"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Se særskilt bilag "Fælles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retningslinier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"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hyperlink r:id="rId6" w:history="1">
              <w:r w:rsidRPr="00236C87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</w:p>
        </w:tc>
      </w:tr>
      <w:tr w:rsidR="00236C87" w14:paraId="76D05220" w14:textId="77777777" w:rsidTr="00236C87">
        <w:tc>
          <w:tcPr>
            <w:tcW w:w="2405" w:type="dxa"/>
          </w:tcPr>
          <w:p w14:paraId="5CBEC545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Uniformering (tøj) for</w:t>
            </w:r>
          </w:p>
          <w:p w14:paraId="342B13A4" w14:textId="1DA2C9DA" w:rsidR="00236C87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afdelingerne</w:t>
            </w:r>
          </w:p>
        </w:tc>
        <w:tc>
          <w:tcPr>
            <w:tcW w:w="7223" w:type="dxa"/>
          </w:tcPr>
          <w:p w14:paraId="739D5B9C" w14:textId="52DD4CF5" w:rsidR="00236C87" w:rsidRDefault="00236C87"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Se særskilt bilag "Fælles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retningslinier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". </w:t>
            </w:r>
            <w:hyperlink r:id="rId7" w:history="1">
              <w:r w:rsidRPr="00236C87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</w:p>
        </w:tc>
      </w:tr>
      <w:tr w:rsidR="00236C87" w14:paraId="22B4448A" w14:textId="77777777" w:rsidTr="00236C87">
        <w:tc>
          <w:tcPr>
            <w:tcW w:w="2405" w:type="dxa"/>
          </w:tcPr>
          <w:p w14:paraId="21A97AA0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Udvalgte hold</w:t>
            </w:r>
          </w:p>
          <w:p w14:paraId="747DBE20" w14:textId="7DD22237" w:rsidR="00236C87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og rejser</w:t>
            </w:r>
          </w:p>
        </w:tc>
        <w:tc>
          <w:tcPr>
            <w:tcW w:w="7223" w:type="dxa"/>
          </w:tcPr>
          <w:p w14:paraId="16F3D161" w14:textId="0EDE2833" w:rsidR="00236C87" w:rsidRDefault="00236C87"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Se særskilt bilag "Fælles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retningslinier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". </w:t>
            </w:r>
            <w:hyperlink r:id="rId8" w:history="1">
              <w:r w:rsidRPr="00236C87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</w:p>
        </w:tc>
      </w:tr>
      <w:tr w:rsidR="00236C87" w14:paraId="024C5A35" w14:textId="77777777" w:rsidTr="00236C87">
        <w:tc>
          <w:tcPr>
            <w:tcW w:w="2405" w:type="dxa"/>
          </w:tcPr>
          <w:p w14:paraId="7D196F52" w14:textId="55312C6D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Skattefri godtgørelse</w:t>
            </w:r>
          </w:p>
        </w:tc>
        <w:tc>
          <w:tcPr>
            <w:tcW w:w="7223" w:type="dxa"/>
          </w:tcPr>
          <w:p w14:paraId="2D63CFF0" w14:textId="5FEAD24F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Der kan udbetales skattefri godtgørelse til ulønnede bestyrelsesmedlemmer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og frivillige i henhold til Skatteministeriets bekendtgørelse. Godtgørelse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kan udbetales til dækning af administrative udgifter (telefon, internet,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kontorhold, vask af beklædning mv.) jfr. §§3-4.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A154ADB" w14:textId="79379F91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Der kan ikke udbetales skattefri godtgørelse samtidig med, at udgifter afholdes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efter regning.</w:t>
            </w:r>
          </w:p>
          <w:p w14:paraId="53D08A09" w14:textId="72620829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Beløbsgrænser for skattefri godtgørelse fremgår af særskilt bilag - "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Retningslinier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for maksimal skattefrie godtgørelser til frivillige ledere"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hyperlink r:id="rId9" w:history="1">
              <w:r w:rsidRPr="00236C87">
                <w:rPr>
                  <w:rStyle w:val="Hyperlink"/>
                  <w:rFonts w:ascii="Calibri" w:hAnsi="Calibri" w:cs="Calibri"/>
                  <w:kern w:val="0"/>
                  <w:sz w:val="24"/>
                  <w:szCs w:val="24"/>
                </w:rPr>
                <w:t>Klik her</w:t>
              </w:r>
            </w:hyperlink>
          </w:p>
        </w:tc>
      </w:tr>
    </w:tbl>
    <w:p w14:paraId="107465E6" w14:textId="77777777" w:rsidR="00404C69" w:rsidRDefault="00404C69"/>
    <w:p w14:paraId="3552B8A7" w14:textId="77777777" w:rsidR="00DD35C3" w:rsidRDefault="00DD35C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236C87" w14:paraId="441B4F6D" w14:textId="77777777" w:rsidTr="00236C8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2A957E4E" w14:textId="2414FE49" w:rsidR="00236C87" w:rsidRPr="00236C87" w:rsidRDefault="00236C87" w:rsidP="00236C87">
            <w:pPr>
              <w:jc w:val="center"/>
              <w:rPr>
                <w:b/>
                <w:bCs/>
              </w:rPr>
            </w:pPr>
            <w:r w:rsidRPr="00236C87">
              <w:rPr>
                <w:b/>
                <w:bCs/>
                <w:sz w:val="28"/>
                <w:szCs w:val="28"/>
              </w:rPr>
              <w:lastRenderedPageBreak/>
              <w:t>Regnskabet</w:t>
            </w:r>
          </w:p>
        </w:tc>
      </w:tr>
      <w:tr w:rsidR="00236C87" w14:paraId="1174D274" w14:textId="77777777" w:rsidTr="00236C87">
        <w:tc>
          <w:tcPr>
            <w:tcW w:w="1838" w:type="dxa"/>
          </w:tcPr>
          <w:p w14:paraId="66C2E150" w14:textId="38E1D962" w:rsidR="00236C87" w:rsidRDefault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Årsregnskabet</w:t>
            </w:r>
          </w:p>
        </w:tc>
        <w:tc>
          <w:tcPr>
            <w:tcW w:w="7790" w:type="dxa"/>
          </w:tcPr>
          <w:p w14:paraId="72E038AF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Regnskabsåret følger kalenderåret.</w:t>
            </w:r>
          </w:p>
          <w:p w14:paraId="1EEB8BDC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Ved årets udgang afsluttes udvalgenes regnskaber, dog således at der i en</w:t>
            </w:r>
          </w:p>
          <w:p w14:paraId="4D613B2E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af administrationen udmeldt periode kan ske bogføring af regninger i</w:t>
            </w:r>
          </w:p>
          <w:p w14:paraId="26283FC2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gammelt regnskab, når udgiften/indtægten vedrører aktiviteter i året.</w:t>
            </w:r>
          </w:p>
          <w:p w14:paraId="7122CC77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Der skal ved regnskabsafslutningen ske korrekt periodisering.</w:t>
            </w:r>
          </w:p>
          <w:p w14:paraId="5F0AED03" w14:textId="48B26B6B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Underskud i udvalgenes regnskaber må ikke forekomme,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medmindre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der</w:t>
            </w:r>
          </w:p>
          <w:p w14:paraId="27DA9DDD" w14:textId="77777777" w:rsidR="00236C87" w:rsidRDefault="00236C87" w:rsidP="00236C8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foreligger en forudgående bestyrelsesbeslutning herom.</w:t>
            </w:r>
          </w:p>
          <w:p w14:paraId="5D4A964C" w14:textId="413368A0" w:rsidR="00236C87" w:rsidRDefault="00236C87" w:rsidP="00236C87"/>
        </w:tc>
      </w:tr>
      <w:tr w:rsidR="00236C87" w14:paraId="3833EB19" w14:textId="77777777" w:rsidTr="00236C87">
        <w:tc>
          <w:tcPr>
            <w:tcW w:w="1838" w:type="dxa"/>
          </w:tcPr>
          <w:p w14:paraId="1A8376C0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Afskrivning af</w:t>
            </w:r>
          </w:p>
          <w:p w14:paraId="49BA74BF" w14:textId="406F5A26" w:rsidR="00236C87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tilgodehavender</w:t>
            </w:r>
          </w:p>
        </w:tc>
        <w:tc>
          <w:tcPr>
            <w:tcW w:w="7790" w:type="dxa"/>
          </w:tcPr>
          <w:p w14:paraId="111D9D9B" w14:textId="1F3D3028" w:rsidR="00236C87" w:rsidRDefault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Afskrivning af tilgodehavende og evt. gæld skal godkendes af bestyrelsen.</w:t>
            </w:r>
          </w:p>
        </w:tc>
      </w:tr>
      <w:tr w:rsidR="00236C87" w14:paraId="592835E5" w14:textId="77777777" w:rsidTr="00236C87">
        <w:tc>
          <w:tcPr>
            <w:tcW w:w="1838" w:type="dxa"/>
          </w:tcPr>
          <w:p w14:paraId="31ED77A4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Hensættelser i</w:t>
            </w:r>
          </w:p>
          <w:p w14:paraId="3ACEE2DE" w14:textId="7E13AA70" w:rsidR="00236C87" w:rsidRDefault="00236C87" w:rsidP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regnskabet</w:t>
            </w:r>
          </w:p>
        </w:tc>
        <w:tc>
          <w:tcPr>
            <w:tcW w:w="7790" w:type="dxa"/>
          </w:tcPr>
          <w:p w14:paraId="00E2FD08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Enhver hensættelse af beløb til fremtidige udgifter skal være indeholdt i</w:t>
            </w:r>
          </w:p>
          <w:p w14:paraId="07DAE4F6" w14:textId="4A7F9ABB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budgettet. Afdelingerne kan derfor budgettere med hensættelser til øremærkede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formål.</w:t>
            </w:r>
          </w:p>
          <w:p w14:paraId="4E665241" w14:textId="15DC56F3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Ikke budgetterede hensættelser kan ikke forekomme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medmindre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bestyrelsen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 w:val="24"/>
                <w:szCs w:val="24"/>
              </w:rPr>
              <w:t>efter ansøgning har givet tilsagn herom.</w:t>
            </w:r>
          </w:p>
          <w:p w14:paraId="2DE22EC0" w14:textId="23C2E1CF" w:rsidR="00236C87" w:rsidRDefault="00236C87" w:rsidP="00236C87">
            <w:pPr>
              <w:autoSpaceDE w:val="0"/>
              <w:autoSpaceDN w:val="0"/>
              <w:adjustRightInd w:val="0"/>
            </w:pPr>
          </w:p>
        </w:tc>
      </w:tr>
      <w:tr w:rsidR="00236C87" w14:paraId="433159EE" w14:textId="77777777" w:rsidTr="00236C87">
        <w:tc>
          <w:tcPr>
            <w:tcW w:w="1838" w:type="dxa"/>
          </w:tcPr>
          <w:p w14:paraId="76A86A3B" w14:textId="36DCF302" w:rsidR="00236C87" w:rsidRDefault="00236C87">
            <w:r>
              <w:rPr>
                <w:rFonts w:ascii="Calibri" w:hAnsi="Calibri" w:cs="Calibri"/>
                <w:kern w:val="0"/>
                <w:sz w:val="24"/>
                <w:szCs w:val="24"/>
              </w:rPr>
              <w:t>Formuen</w:t>
            </w:r>
          </w:p>
        </w:tc>
        <w:tc>
          <w:tcPr>
            <w:tcW w:w="7790" w:type="dxa"/>
          </w:tcPr>
          <w:p w14:paraId="2E2449E0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I foreningens formue opsamles eventuelle overskud fra de enkelte udvalg.</w:t>
            </w:r>
          </w:p>
          <w:p w14:paraId="4132E98C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Udvalgene kan ikke gøre krav på andele af foreningens formue, med mindre</w:t>
            </w:r>
          </w:p>
          <w:p w14:paraId="59366B29" w14:textId="77777777" w:rsidR="00236C87" w:rsidRDefault="00236C87" w:rsidP="00236C87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der er tale om budgetterede hensættelser, der er særskilt registreret i</w:t>
            </w:r>
          </w:p>
          <w:p w14:paraId="5605ACC2" w14:textId="77777777" w:rsidR="00236C87" w:rsidRDefault="00236C87" w:rsidP="00236C87">
            <w:pPr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status.</w:t>
            </w:r>
          </w:p>
          <w:p w14:paraId="360043AF" w14:textId="17B9F2CB" w:rsidR="00236C87" w:rsidRDefault="00236C87" w:rsidP="00236C87"/>
        </w:tc>
      </w:tr>
    </w:tbl>
    <w:p w14:paraId="6D35A2EA" w14:textId="77777777" w:rsidR="00236C87" w:rsidRDefault="00236C87"/>
    <w:sectPr w:rsidR="00236C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2A"/>
    <w:rsid w:val="001C4001"/>
    <w:rsid w:val="00236C87"/>
    <w:rsid w:val="00404C69"/>
    <w:rsid w:val="00542109"/>
    <w:rsid w:val="009F189E"/>
    <w:rsid w:val="00DD35C3"/>
    <w:rsid w:val="00F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EC5F"/>
  <w15:chartTrackingRefBased/>
  <w15:docId w15:val="{1A89F8F9-BBF3-4631-AC1E-6B88DC73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00D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0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kbh.dk/media/154118/fskbh-retningslinier-forplejning-uniformering-rejse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kbh.dk/media/154118/fskbh-retningslinier-forplejning-uniformering-rejse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kbh.dk/media/154118/fskbh-retningslinier-forplejning-uniformering-rejse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ew.officeapps.live.com/op/view.aspx?src=https%3A%2F%2Fwww.fskbh.dk%2Fmedia%2F1799069%2Fgodtgoerelse-af-afholdte-udgifter.xlsx&amp;wdOrigin=BROWSELIN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skbh.dk/media/154118/fskbh-retningslinier-forplejning-uniformering-rejser.pdf" TargetMode="External"/><Relationship Id="rId9" Type="http://schemas.openxmlformats.org/officeDocument/2006/relationships/hyperlink" Target="https://www.fskbh.dk/media/1633912/skattefri-godtgoerelse-2020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825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Risom</dc:creator>
  <cp:keywords/>
  <dc:description/>
  <cp:lastModifiedBy>Mathilde Risom</cp:lastModifiedBy>
  <cp:revision>3</cp:revision>
  <cp:lastPrinted>2023-05-23T11:01:00Z</cp:lastPrinted>
  <dcterms:created xsi:type="dcterms:W3CDTF">2023-05-23T10:38:00Z</dcterms:created>
  <dcterms:modified xsi:type="dcterms:W3CDTF">2023-05-23T11:02:00Z</dcterms:modified>
</cp:coreProperties>
</file>